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4680"/>
        <w:gridCol w:w="4680"/>
      </w:tblGrid>
      <w:tr w:rsidR="00B24069" w:rsidRPr="00D16228" w:rsidTr="006A01BE">
        <w:trPr>
          <w:jc w:val="center"/>
        </w:trPr>
        <w:tc>
          <w:tcPr>
            <w:tcW w:w="4680" w:type="dxa"/>
            <w:tcBorders>
              <w:top w:val="double" w:sz="6" w:space="0" w:color="000000"/>
              <w:left w:val="double" w:sz="6" w:space="0" w:color="000000"/>
              <w:bottom w:val="single" w:sz="8" w:space="0" w:color="000000"/>
              <w:right w:val="single" w:sz="8" w:space="0" w:color="000000"/>
            </w:tcBorders>
            <w:shd w:val="clear" w:color="auto" w:fill="auto"/>
            <w:tcMar>
              <w:top w:w="0" w:type="dxa"/>
              <w:left w:w="120" w:type="dxa"/>
              <w:bottom w:w="0" w:type="dxa"/>
              <w:right w:w="120" w:type="dxa"/>
            </w:tcMar>
            <w:hideMark/>
          </w:tcPr>
          <w:p w:rsidR="00B24069" w:rsidRPr="000D0F4C" w:rsidRDefault="00B24069" w:rsidP="006A01BE">
            <w:pPr>
              <w:spacing w:line="276" w:lineRule="auto"/>
              <w:rPr>
                <w:sz w:val="16"/>
                <w:szCs w:val="16"/>
              </w:rPr>
            </w:pPr>
          </w:p>
          <w:p w:rsidR="00B24069" w:rsidRPr="000D0F4C" w:rsidRDefault="00B24069" w:rsidP="006A01BE">
            <w:pPr>
              <w:pStyle w:val="Heading3"/>
              <w:rPr>
                <w:rFonts w:eastAsiaTheme="minorHAnsi"/>
              </w:rPr>
            </w:pPr>
            <w:r w:rsidRPr="00B24069">
              <w:rPr>
                <w:highlight w:val="cyan"/>
              </w:rPr>
              <w:t>Fundraising Policy</w:t>
            </w:r>
          </w:p>
        </w:tc>
        <w:tc>
          <w:tcPr>
            <w:tcW w:w="4680" w:type="dxa"/>
            <w:tcBorders>
              <w:top w:val="double" w:sz="6" w:space="0" w:color="000000"/>
              <w:left w:val="nil"/>
              <w:bottom w:val="single" w:sz="8" w:space="0" w:color="000000"/>
              <w:right w:val="double" w:sz="6" w:space="0" w:color="000000"/>
            </w:tcBorders>
            <w:shd w:val="clear" w:color="auto" w:fill="auto"/>
            <w:tcMar>
              <w:top w:w="0" w:type="dxa"/>
              <w:left w:w="120" w:type="dxa"/>
              <w:bottom w:w="0" w:type="dxa"/>
              <w:right w:w="120" w:type="dxa"/>
            </w:tcMar>
            <w:hideMark/>
          </w:tcPr>
          <w:p w:rsidR="00B24069" w:rsidRPr="000D0F4C" w:rsidRDefault="00B24069" w:rsidP="006A01BE"/>
          <w:p w:rsidR="00B24069" w:rsidRPr="000D0F4C" w:rsidRDefault="00B24069" w:rsidP="006A01BE">
            <w:pPr>
              <w:rPr>
                <w:rFonts w:eastAsiaTheme="minorHAnsi"/>
              </w:rPr>
            </w:pPr>
            <w:r w:rsidRPr="000D0F4C">
              <w:t>Policy Approved By: Board of Directors</w:t>
            </w:r>
            <w:r>
              <w:t xml:space="preserve"> </w:t>
            </w:r>
          </w:p>
        </w:tc>
      </w:tr>
      <w:tr w:rsidR="00B24069" w:rsidRPr="00D16228" w:rsidTr="006A01BE">
        <w:trPr>
          <w:trHeight w:val="318"/>
          <w:jc w:val="center"/>
        </w:trPr>
        <w:tc>
          <w:tcPr>
            <w:tcW w:w="4680" w:type="dxa"/>
            <w:tcBorders>
              <w:top w:val="nil"/>
              <w:left w:val="double" w:sz="6" w:space="0" w:color="000000"/>
              <w:bottom w:val="single" w:sz="8" w:space="0" w:color="000000"/>
              <w:right w:val="single" w:sz="8" w:space="0" w:color="000000"/>
            </w:tcBorders>
            <w:shd w:val="clear" w:color="auto" w:fill="auto"/>
            <w:tcMar>
              <w:top w:w="0" w:type="dxa"/>
              <w:left w:w="120" w:type="dxa"/>
              <w:bottom w:w="0" w:type="dxa"/>
              <w:right w:w="120" w:type="dxa"/>
            </w:tcMar>
            <w:hideMark/>
          </w:tcPr>
          <w:p w:rsidR="00B24069" w:rsidRPr="000D0F4C" w:rsidRDefault="00B24069" w:rsidP="006A01BE"/>
          <w:p w:rsidR="00B24069" w:rsidRPr="000D0F4C" w:rsidRDefault="00B24069" w:rsidP="006A01BE">
            <w:pPr>
              <w:rPr>
                <w:rFonts w:eastAsiaTheme="minorHAnsi"/>
              </w:rPr>
            </w:pPr>
            <w:r w:rsidRPr="000D0F4C">
              <w:t>Section:  Finance Policies</w:t>
            </w:r>
          </w:p>
        </w:tc>
        <w:tc>
          <w:tcPr>
            <w:tcW w:w="4680" w:type="dxa"/>
            <w:tcBorders>
              <w:top w:val="nil"/>
              <w:left w:val="nil"/>
              <w:bottom w:val="single" w:sz="8" w:space="0" w:color="000000"/>
              <w:right w:val="double" w:sz="6" w:space="0" w:color="000000"/>
            </w:tcBorders>
            <w:shd w:val="clear" w:color="auto" w:fill="auto"/>
            <w:tcMar>
              <w:top w:w="0" w:type="dxa"/>
              <w:left w:w="120" w:type="dxa"/>
              <w:bottom w:w="0" w:type="dxa"/>
              <w:right w:w="120" w:type="dxa"/>
            </w:tcMar>
            <w:hideMark/>
          </w:tcPr>
          <w:p w:rsidR="00B24069" w:rsidRPr="000D0F4C" w:rsidRDefault="00B24069" w:rsidP="006A01BE"/>
          <w:p w:rsidR="00B24069" w:rsidRPr="000D0F4C" w:rsidRDefault="006A01BE" w:rsidP="00B24069">
            <w:pPr>
              <w:rPr>
                <w:rFonts w:eastAsiaTheme="minorHAnsi"/>
              </w:rPr>
            </w:pPr>
            <w:r>
              <w:t>Date of Approval</w:t>
            </w:r>
            <w:r w:rsidR="00B24069" w:rsidRPr="000D0F4C">
              <w:t xml:space="preserve">: </w:t>
            </w:r>
            <w:r w:rsidR="00B24069">
              <w:t>Month XX, 2019</w:t>
            </w:r>
          </w:p>
        </w:tc>
      </w:tr>
      <w:tr w:rsidR="00B24069" w:rsidTr="006A01BE">
        <w:trPr>
          <w:jc w:val="center"/>
        </w:trPr>
        <w:tc>
          <w:tcPr>
            <w:tcW w:w="4680" w:type="dxa"/>
            <w:tcBorders>
              <w:top w:val="nil"/>
              <w:left w:val="double" w:sz="6" w:space="0" w:color="000000"/>
              <w:bottom w:val="double" w:sz="6" w:space="0" w:color="000000"/>
              <w:right w:val="single" w:sz="8" w:space="0" w:color="000000"/>
            </w:tcBorders>
            <w:shd w:val="clear" w:color="auto" w:fill="auto"/>
            <w:tcMar>
              <w:top w:w="0" w:type="dxa"/>
              <w:left w:w="120" w:type="dxa"/>
              <w:bottom w:w="0" w:type="dxa"/>
              <w:right w:w="120" w:type="dxa"/>
            </w:tcMar>
            <w:hideMark/>
          </w:tcPr>
          <w:p w:rsidR="00B24069" w:rsidRPr="000D0F4C" w:rsidRDefault="00B24069" w:rsidP="006A01BE"/>
          <w:p w:rsidR="00B24069" w:rsidRPr="000D0F4C" w:rsidRDefault="00B24069" w:rsidP="006A01BE">
            <w:pPr>
              <w:rPr>
                <w:rFonts w:eastAsiaTheme="minorHAnsi"/>
              </w:rPr>
            </w:pPr>
            <w:r w:rsidRPr="000D0F4C">
              <w:t xml:space="preserve">Accreditation Issue: </w:t>
            </w:r>
          </w:p>
        </w:tc>
        <w:tc>
          <w:tcPr>
            <w:tcW w:w="4680" w:type="dxa"/>
            <w:tcBorders>
              <w:top w:val="nil"/>
              <w:left w:val="nil"/>
              <w:bottom w:val="double" w:sz="6" w:space="0" w:color="000000"/>
              <w:right w:val="double" w:sz="6" w:space="0" w:color="000000"/>
            </w:tcBorders>
            <w:shd w:val="clear" w:color="auto" w:fill="auto"/>
            <w:tcMar>
              <w:top w:w="0" w:type="dxa"/>
              <w:left w:w="120" w:type="dxa"/>
              <w:bottom w:w="0" w:type="dxa"/>
              <w:right w:w="120" w:type="dxa"/>
            </w:tcMar>
            <w:hideMark/>
          </w:tcPr>
          <w:p w:rsidR="00B24069" w:rsidRPr="000D0F4C" w:rsidRDefault="00B24069" w:rsidP="006A01BE"/>
          <w:p w:rsidR="00B24069" w:rsidRPr="000D0F4C" w:rsidRDefault="00B24069" w:rsidP="00B24069">
            <w:pPr>
              <w:rPr>
                <w:rFonts w:eastAsiaTheme="minorHAnsi"/>
              </w:rPr>
            </w:pPr>
            <w:r w:rsidRPr="000D0F4C">
              <w:t xml:space="preserve">Date of </w:t>
            </w:r>
            <w:r w:rsidR="006A01BE">
              <w:t xml:space="preserve">Next </w:t>
            </w:r>
            <w:r>
              <w:t xml:space="preserve">Review: </w:t>
            </w:r>
            <w:r w:rsidR="008D28F1">
              <w:t>Month XX, 202</w:t>
            </w:r>
            <w:r w:rsidR="002C07AA">
              <w:t>2</w:t>
            </w:r>
          </w:p>
        </w:tc>
      </w:tr>
    </w:tbl>
    <w:p w:rsidR="00B24069" w:rsidRPr="00C61AC0" w:rsidRDefault="00B24069" w:rsidP="00B24069">
      <w:pPr>
        <w:spacing w:before="120"/>
        <w:rPr>
          <w:sz w:val="24"/>
        </w:rPr>
      </w:pPr>
    </w:p>
    <w:p w:rsidR="00B24069" w:rsidRPr="00BE7E01" w:rsidRDefault="00B24069" w:rsidP="00B24069">
      <w:pPr>
        <w:pStyle w:val="Heading4"/>
      </w:pPr>
      <w:bookmarkStart w:id="0" w:name="_Toc328733162"/>
      <w:r>
        <w:t>1.0</w:t>
      </w:r>
      <w:r>
        <w:tab/>
      </w:r>
      <w:r w:rsidRPr="00BE7E01">
        <w:t>Introduction</w:t>
      </w:r>
      <w:bookmarkEnd w:id="0"/>
    </w:p>
    <w:p w:rsidR="00B24069" w:rsidRDefault="00B24069" w:rsidP="00B24069">
      <w:pPr>
        <w:pStyle w:val="Default"/>
      </w:pPr>
    </w:p>
    <w:p w:rsidR="00B24069" w:rsidRPr="00B24069" w:rsidRDefault="00B24069" w:rsidP="00B24069">
      <w:pPr>
        <w:pStyle w:val="BodyText"/>
        <w:rPr>
          <w:szCs w:val="22"/>
        </w:rPr>
      </w:pPr>
      <w:r w:rsidRPr="00B24069">
        <w:rPr>
          <w:szCs w:val="22"/>
        </w:rPr>
        <w:t xml:space="preserve"> The Health Centre believes that fundraising initiatives are not merely opportunities to gain fiscal resources for our organization, but are opportunities to build linkages and increase awareness of our services and programs among business, service agencies and individuals. We understand fundraising dollars are increasingly difficult to access and </w:t>
      </w:r>
      <w:r w:rsidR="006A01BE">
        <w:rPr>
          <w:szCs w:val="22"/>
        </w:rPr>
        <w:t xml:space="preserve">Quest </w:t>
      </w:r>
      <w:r w:rsidRPr="00B24069">
        <w:rPr>
          <w:szCs w:val="22"/>
        </w:rPr>
        <w:t xml:space="preserve">Community Health Centre will take a prudent approach to ensure that our fundraising activities do not conflict with stakeholders and partners. </w:t>
      </w:r>
    </w:p>
    <w:p w:rsidR="00B24069" w:rsidRDefault="00B24069" w:rsidP="00B24069">
      <w:pPr>
        <w:pStyle w:val="BodyText"/>
      </w:pPr>
    </w:p>
    <w:p w:rsidR="00B24069" w:rsidRDefault="00B24069" w:rsidP="00B24069">
      <w:pPr>
        <w:pStyle w:val="Heading4"/>
        <w:numPr>
          <w:ilvl w:val="0"/>
          <w:numId w:val="1"/>
        </w:numPr>
      </w:pPr>
      <w:bookmarkStart w:id="1" w:name="_Toc328733163"/>
      <w:r>
        <w:t>Scope</w:t>
      </w:r>
      <w:bookmarkEnd w:id="1"/>
    </w:p>
    <w:p w:rsidR="00B24069" w:rsidRDefault="00B24069" w:rsidP="00B24069">
      <w:pPr>
        <w:pStyle w:val="BodyText"/>
      </w:pPr>
    </w:p>
    <w:p w:rsidR="00B24069" w:rsidRDefault="00B24069" w:rsidP="00B24069">
      <w:pPr>
        <w:pStyle w:val="BodyText"/>
      </w:pPr>
      <w:r>
        <w:t xml:space="preserve">Board of Directors, Executive Director, Management Team </w:t>
      </w:r>
    </w:p>
    <w:p w:rsidR="00B24069" w:rsidRPr="00BE7E01" w:rsidRDefault="00B24069" w:rsidP="00B24069">
      <w:pPr>
        <w:pStyle w:val="BodyText"/>
        <w:ind w:left="0"/>
      </w:pPr>
    </w:p>
    <w:p w:rsidR="00B24069" w:rsidRPr="00BE7E01" w:rsidRDefault="00B24069" w:rsidP="00B24069">
      <w:pPr>
        <w:pStyle w:val="Heading4"/>
      </w:pPr>
      <w:bookmarkStart w:id="2" w:name="_Toc328733164"/>
      <w:r>
        <w:t>3.0</w:t>
      </w:r>
      <w:r>
        <w:tab/>
        <w:t>Policy/Procedure</w:t>
      </w:r>
      <w:bookmarkEnd w:id="2"/>
    </w:p>
    <w:p w:rsidR="00B24069" w:rsidRDefault="00B24069" w:rsidP="00B24069">
      <w:pPr>
        <w:pStyle w:val="Default"/>
      </w:pPr>
    </w:p>
    <w:p w:rsidR="00B24069" w:rsidRPr="00B24069" w:rsidRDefault="00B24069" w:rsidP="00B24069">
      <w:pPr>
        <w:pStyle w:val="Default"/>
        <w:ind w:left="720"/>
        <w:rPr>
          <w:rFonts w:ascii="Arial" w:hAnsi="Arial" w:cs="Arial"/>
          <w:sz w:val="22"/>
          <w:szCs w:val="22"/>
        </w:rPr>
      </w:pPr>
      <w:r w:rsidRPr="00B24069">
        <w:rPr>
          <w:rFonts w:ascii="Arial" w:hAnsi="Arial" w:cs="Arial"/>
          <w:sz w:val="22"/>
          <w:szCs w:val="22"/>
        </w:rPr>
        <w:t xml:space="preserve">The </w:t>
      </w:r>
      <w:r>
        <w:rPr>
          <w:rFonts w:ascii="Arial" w:hAnsi="Arial" w:cs="Arial"/>
          <w:sz w:val="22"/>
          <w:szCs w:val="22"/>
        </w:rPr>
        <w:t>Board and Management T</w:t>
      </w:r>
      <w:r w:rsidRPr="00B24069">
        <w:rPr>
          <w:rFonts w:ascii="Arial" w:hAnsi="Arial" w:cs="Arial"/>
          <w:sz w:val="22"/>
          <w:szCs w:val="22"/>
        </w:rPr>
        <w:t xml:space="preserve">eam shall actively seek fundraising opportunities for the Health Centre. </w:t>
      </w:r>
    </w:p>
    <w:p w:rsidR="00B24069" w:rsidRPr="00B24069" w:rsidRDefault="00B24069" w:rsidP="00B24069">
      <w:pPr>
        <w:pStyle w:val="Default"/>
        <w:ind w:left="720"/>
        <w:rPr>
          <w:rFonts w:ascii="Arial" w:hAnsi="Arial" w:cs="Arial"/>
          <w:sz w:val="22"/>
          <w:szCs w:val="22"/>
        </w:rPr>
      </w:pPr>
    </w:p>
    <w:p w:rsidR="00B24069" w:rsidRPr="00B24069" w:rsidRDefault="00B24069" w:rsidP="00B24069">
      <w:pPr>
        <w:pStyle w:val="Default"/>
        <w:ind w:left="720"/>
        <w:rPr>
          <w:rFonts w:ascii="Arial" w:hAnsi="Arial" w:cs="Arial"/>
          <w:sz w:val="22"/>
          <w:szCs w:val="22"/>
        </w:rPr>
      </w:pPr>
      <w:r>
        <w:rPr>
          <w:rFonts w:ascii="Arial" w:hAnsi="Arial" w:cs="Arial"/>
          <w:sz w:val="22"/>
          <w:szCs w:val="22"/>
        </w:rPr>
        <w:t>The Board and Management T</w:t>
      </w:r>
      <w:r w:rsidRPr="00B24069">
        <w:rPr>
          <w:rFonts w:ascii="Arial" w:hAnsi="Arial" w:cs="Arial"/>
          <w:sz w:val="22"/>
          <w:szCs w:val="22"/>
        </w:rPr>
        <w:t>eam shall review all requests to take part in fundraising activities and identify those requests that should receive our endorsement.</w:t>
      </w:r>
    </w:p>
    <w:p w:rsidR="00B24069" w:rsidRPr="00B24069" w:rsidRDefault="00B24069" w:rsidP="00B24069">
      <w:pPr>
        <w:pStyle w:val="Default"/>
        <w:ind w:left="720"/>
        <w:rPr>
          <w:rFonts w:ascii="Arial" w:hAnsi="Arial" w:cs="Arial"/>
          <w:sz w:val="22"/>
          <w:szCs w:val="22"/>
        </w:rPr>
      </w:pPr>
    </w:p>
    <w:p w:rsidR="00B24069" w:rsidRPr="00B24069" w:rsidRDefault="00B24069" w:rsidP="00B24069">
      <w:pPr>
        <w:pStyle w:val="Default"/>
        <w:ind w:left="720"/>
        <w:rPr>
          <w:rFonts w:ascii="Arial" w:hAnsi="Arial" w:cs="Arial"/>
          <w:sz w:val="22"/>
          <w:szCs w:val="22"/>
        </w:rPr>
      </w:pPr>
      <w:r w:rsidRPr="00B24069">
        <w:rPr>
          <w:rFonts w:ascii="Arial" w:hAnsi="Arial" w:cs="Arial"/>
          <w:sz w:val="22"/>
          <w:szCs w:val="22"/>
        </w:rPr>
        <w:t xml:space="preserve">The following criteria shall be used when assessing our participation in fundraising initiatives: </w:t>
      </w:r>
    </w:p>
    <w:p w:rsidR="00B24069" w:rsidRPr="00B24069" w:rsidRDefault="00B24069" w:rsidP="00B24069">
      <w:pPr>
        <w:pStyle w:val="Default"/>
        <w:rPr>
          <w:rFonts w:ascii="Arial" w:hAnsi="Arial" w:cs="Arial"/>
          <w:sz w:val="22"/>
          <w:szCs w:val="22"/>
        </w:rPr>
      </w:pPr>
    </w:p>
    <w:p w:rsidR="00B24069" w:rsidRPr="00B24069" w:rsidRDefault="00B24069" w:rsidP="00B24069">
      <w:pPr>
        <w:pStyle w:val="Default"/>
        <w:numPr>
          <w:ilvl w:val="0"/>
          <w:numId w:val="5"/>
        </w:numPr>
        <w:rPr>
          <w:rFonts w:ascii="Arial" w:hAnsi="Arial" w:cs="Arial"/>
          <w:sz w:val="22"/>
          <w:szCs w:val="22"/>
        </w:rPr>
      </w:pPr>
      <w:r w:rsidRPr="00B24069">
        <w:rPr>
          <w:rFonts w:ascii="Arial" w:hAnsi="Arial" w:cs="Arial"/>
          <w:sz w:val="22"/>
          <w:szCs w:val="22"/>
        </w:rPr>
        <w:t>Fundraising events/opportunities that are consistent with our values and principles- especially in terms of supporting actions that improve health</w:t>
      </w:r>
      <w:r>
        <w:rPr>
          <w:rFonts w:ascii="Arial" w:hAnsi="Arial" w:cs="Arial"/>
          <w:sz w:val="22"/>
          <w:szCs w:val="22"/>
        </w:rPr>
        <w:t>, social policies and practices</w:t>
      </w:r>
      <w:r w:rsidRPr="00B24069">
        <w:rPr>
          <w:rFonts w:ascii="Arial" w:hAnsi="Arial" w:cs="Arial"/>
          <w:sz w:val="22"/>
          <w:szCs w:val="22"/>
        </w:rPr>
        <w:t xml:space="preserve"> </w:t>
      </w:r>
    </w:p>
    <w:p w:rsidR="00B24069" w:rsidRPr="00B24069" w:rsidRDefault="00B24069" w:rsidP="00B24069">
      <w:pPr>
        <w:pStyle w:val="Default"/>
        <w:numPr>
          <w:ilvl w:val="0"/>
          <w:numId w:val="5"/>
        </w:numPr>
        <w:spacing w:before="120"/>
        <w:rPr>
          <w:rFonts w:ascii="Arial" w:hAnsi="Arial" w:cs="Arial"/>
          <w:sz w:val="22"/>
          <w:szCs w:val="22"/>
        </w:rPr>
      </w:pPr>
      <w:r w:rsidRPr="00B24069">
        <w:rPr>
          <w:rFonts w:ascii="Arial" w:hAnsi="Arial" w:cs="Arial"/>
          <w:sz w:val="22"/>
          <w:szCs w:val="22"/>
        </w:rPr>
        <w:t>Fundraising initiatives should not undermine the health of the population, and in p</w:t>
      </w:r>
      <w:r>
        <w:rPr>
          <w:rFonts w:ascii="Arial" w:hAnsi="Arial" w:cs="Arial"/>
          <w:sz w:val="22"/>
          <w:szCs w:val="22"/>
        </w:rPr>
        <w:t>articular those with addictions</w:t>
      </w:r>
      <w:r w:rsidRPr="00B24069">
        <w:rPr>
          <w:rFonts w:ascii="Arial" w:hAnsi="Arial" w:cs="Arial"/>
          <w:sz w:val="22"/>
          <w:szCs w:val="22"/>
        </w:rPr>
        <w:t xml:space="preserve"> </w:t>
      </w:r>
    </w:p>
    <w:p w:rsidR="00B24069" w:rsidRPr="00B24069" w:rsidRDefault="00B24069" w:rsidP="00B24069">
      <w:pPr>
        <w:pStyle w:val="Default"/>
        <w:numPr>
          <w:ilvl w:val="0"/>
          <w:numId w:val="5"/>
        </w:numPr>
        <w:spacing w:before="120"/>
        <w:rPr>
          <w:rFonts w:ascii="Arial" w:hAnsi="Arial" w:cs="Arial"/>
          <w:sz w:val="22"/>
          <w:szCs w:val="22"/>
        </w:rPr>
      </w:pPr>
      <w:r w:rsidRPr="00B24069">
        <w:rPr>
          <w:rFonts w:ascii="Arial" w:hAnsi="Arial" w:cs="Arial"/>
          <w:sz w:val="22"/>
          <w:szCs w:val="22"/>
        </w:rPr>
        <w:t xml:space="preserve">Fundraising initiatives should benefit one or more of the following: </w:t>
      </w:r>
    </w:p>
    <w:p w:rsidR="00B24069" w:rsidRPr="00B24069" w:rsidRDefault="00A86ED6" w:rsidP="00B24069">
      <w:pPr>
        <w:pStyle w:val="Default"/>
        <w:numPr>
          <w:ilvl w:val="0"/>
          <w:numId w:val="6"/>
        </w:numPr>
        <w:rPr>
          <w:rFonts w:ascii="Arial" w:hAnsi="Arial" w:cs="Arial"/>
          <w:sz w:val="22"/>
          <w:szCs w:val="22"/>
        </w:rPr>
      </w:pPr>
      <w:r>
        <w:rPr>
          <w:rFonts w:ascii="Arial" w:hAnsi="Arial" w:cs="Arial"/>
          <w:sz w:val="22"/>
          <w:szCs w:val="22"/>
        </w:rPr>
        <w:t>Quest</w:t>
      </w:r>
      <w:r w:rsidR="00B24069" w:rsidRPr="00B24069">
        <w:rPr>
          <w:rFonts w:ascii="Arial" w:hAnsi="Arial" w:cs="Arial"/>
          <w:sz w:val="22"/>
          <w:szCs w:val="22"/>
        </w:rPr>
        <w:t xml:space="preserve"> Community Heal</w:t>
      </w:r>
      <w:r>
        <w:rPr>
          <w:rFonts w:ascii="Arial" w:hAnsi="Arial" w:cs="Arial"/>
          <w:sz w:val="22"/>
          <w:szCs w:val="22"/>
        </w:rPr>
        <w:t>th Centre clients and/or client</w:t>
      </w:r>
      <w:r w:rsidR="00B24069" w:rsidRPr="00B24069">
        <w:rPr>
          <w:rFonts w:ascii="Arial" w:hAnsi="Arial" w:cs="Arial"/>
          <w:sz w:val="22"/>
          <w:szCs w:val="22"/>
        </w:rPr>
        <w:t xml:space="preserve">s </w:t>
      </w:r>
    </w:p>
    <w:p w:rsidR="00B24069" w:rsidRPr="00B24069" w:rsidRDefault="00B24069" w:rsidP="00B24069">
      <w:pPr>
        <w:pStyle w:val="Default"/>
        <w:numPr>
          <w:ilvl w:val="0"/>
          <w:numId w:val="6"/>
        </w:numPr>
        <w:rPr>
          <w:rFonts w:ascii="Arial" w:hAnsi="Arial" w:cs="Arial"/>
          <w:sz w:val="22"/>
          <w:szCs w:val="22"/>
        </w:rPr>
      </w:pPr>
      <w:r w:rsidRPr="00B24069">
        <w:rPr>
          <w:rFonts w:ascii="Arial" w:hAnsi="Arial" w:cs="Arial"/>
          <w:sz w:val="22"/>
          <w:szCs w:val="22"/>
        </w:rPr>
        <w:t xml:space="preserve">Communities to which the Health Centre provides service </w:t>
      </w:r>
    </w:p>
    <w:p w:rsidR="00B24069" w:rsidRPr="00B24069" w:rsidRDefault="00B24069" w:rsidP="00B24069">
      <w:pPr>
        <w:pStyle w:val="Default"/>
        <w:numPr>
          <w:ilvl w:val="0"/>
          <w:numId w:val="6"/>
        </w:numPr>
        <w:rPr>
          <w:rFonts w:ascii="Arial" w:hAnsi="Arial" w:cs="Arial"/>
          <w:sz w:val="22"/>
          <w:szCs w:val="22"/>
        </w:rPr>
      </w:pPr>
      <w:r w:rsidRPr="00B24069">
        <w:rPr>
          <w:rFonts w:ascii="Arial" w:hAnsi="Arial" w:cs="Arial"/>
          <w:sz w:val="22"/>
          <w:szCs w:val="22"/>
        </w:rPr>
        <w:t xml:space="preserve">Residents of the Hamilton Niagara Haldimand Brant LHIN </w:t>
      </w:r>
    </w:p>
    <w:p w:rsidR="00B24069" w:rsidRPr="00B24069" w:rsidRDefault="00B24069" w:rsidP="00B24069">
      <w:pPr>
        <w:pStyle w:val="Default"/>
        <w:numPr>
          <w:ilvl w:val="0"/>
          <w:numId w:val="5"/>
        </w:numPr>
        <w:spacing w:before="120"/>
        <w:rPr>
          <w:rFonts w:ascii="Arial" w:hAnsi="Arial" w:cs="Arial"/>
          <w:sz w:val="22"/>
          <w:szCs w:val="22"/>
        </w:rPr>
      </w:pPr>
      <w:r w:rsidRPr="00B24069">
        <w:rPr>
          <w:rFonts w:ascii="Arial" w:hAnsi="Arial" w:cs="Arial"/>
          <w:sz w:val="22"/>
          <w:szCs w:val="22"/>
        </w:rPr>
        <w:t>Those who are involved in fundraising activities must declare any conflic</w:t>
      </w:r>
      <w:r>
        <w:rPr>
          <w:rFonts w:ascii="Arial" w:hAnsi="Arial" w:cs="Arial"/>
          <w:sz w:val="22"/>
          <w:szCs w:val="22"/>
        </w:rPr>
        <w:t>t of interest</w:t>
      </w:r>
      <w:r w:rsidRPr="00B24069">
        <w:rPr>
          <w:rFonts w:ascii="Arial" w:hAnsi="Arial" w:cs="Arial"/>
          <w:sz w:val="22"/>
          <w:szCs w:val="22"/>
        </w:rPr>
        <w:t xml:space="preserve"> </w:t>
      </w:r>
    </w:p>
    <w:p w:rsidR="00B24069" w:rsidRPr="00B24069" w:rsidRDefault="00B24069" w:rsidP="00B24069">
      <w:pPr>
        <w:pStyle w:val="Default"/>
        <w:numPr>
          <w:ilvl w:val="0"/>
          <w:numId w:val="5"/>
        </w:numPr>
        <w:spacing w:before="120"/>
        <w:rPr>
          <w:rFonts w:ascii="Arial" w:hAnsi="Arial" w:cs="Arial"/>
          <w:sz w:val="22"/>
          <w:szCs w:val="22"/>
        </w:rPr>
      </w:pPr>
      <w:r w:rsidRPr="00B24069">
        <w:rPr>
          <w:rFonts w:ascii="Arial" w:hAnsi="Arial" w:cs="Arial"/>
          <w:sz w:val="22"/>
          <w:szCs w:val="22"/>
        </w:rPr>
        <w:t>Fundraising activities cannot provide personal benefit or involve the Board in co</w:t>
      </w:r>
      <w:r>
        <w:rPr>
          <w:rFonts w:ascii="Arial" w:hAnsi="Arial" w:cs="Arial"/>
          <w:sz w:val="22"/>
          <w:szCs w:val="22"/>
        </w:rPr>
        <w:t>ntroversy or negative publicity</w:t>
      </w:r>
      <w:r w:rsidRPr="00B24069">
        <w:rPr>
          <w:rFonts w:ascii="Arial" w:hAnsi="Arial" w:cs="Arial"/>
          <w:sz w:val="22"/>
          <w:szCs w:val="22"/>
        </w:rPr>
        <w:t xml:space="preserve"> </w:t>
      </w:r>
    </w:p>
    <w:p w:rsidR="00B24069" w:rsidRPr="00B24069" w:rsidRDefault="00B24069" w:rsidP="00B24069">
      <w:pPr>
        <w:pStyle w:val="Default"/>
        <w:numPr>
          <w:ilvl w:val="0"/>
          <w:numId w:val="5"/>
        </w:numPr>
        <w:spacing w:before="120"/>
        <w:rPr>
          <w:rFonts w:ascii="Arial" w:hAnsi="Arial" w:cs="Arial"/>
          <w:sz w:val="22"/>
          <w:szCs w:val="22"/>
        </w:rPr>
      </w:pPr>
      <w:r w:rsidRPr="00B24069">
        <w:rPr>
          <w:rFonts w:ascii="Arial" w:hAnsi="Arial" w:cs="Arial"/>
          <w:sz w:val="22"/>
          <w:szCs w:val="22"/>
        </w:rPr>
        <w:lastRenderedPageBreak/>
        <w:t>Fundraising events, when possible, should endeavor to improve relationships with our communities</w:t>
      </w:r>
      <w:r>
        <w:rPr>
          <w:rFonts w:ascii="Arial" w:hAnsi="Arial" w:cs="Arial"/>
          <w:sz w:val="22"/>
          <w:szCs w:val="22"/>
        </w:rPr>
        <w:t>.</w:t>
      </w:r>
      <w:r w:rsidRPr="00B24069">
        <w:rPr>
          <w:rFonts w:ascii="Arial" w:hAnsi="Arial" w:cs="Arial"/>
          <w:sz w:val="22"/>
          <w:szCs w:val="22"/>
        </w:rPr>
        <w:t xml:space="preserve"> </w:t>
      </w:r>
    </w:p>
    <w:p w:rsidR="00B24069" w:rsidRPr="00B24069" w:rsidRDefault="00B24069" w:rsidP="00B24069">
      <w:pPr>
        <w:pStyle w:val="BodyText"/>
        <w:rPr>
          <w:szCs w:val="22"/>
        </w:rPr>
      </w:pPr>
      <w:r w:rsidRPr="00B24069">
        <w:rPr>
          <w:szCs w:val="22"/>
        </w:rPr>
        <w:t xml:space="preserve">If the above goals are in doubt, or the nature of the organization/agency is such that </w:t>
      </w:r>
      <w:r>
        <w:rPr>
          <w:szCs w:val="22"/>
        </w:rPr>
        <w:t>Quest</w:t>
      </w:r>
      <w:r w:rsidRPr="00B24069">
        <w:rPr>
          <w:szCs w:val="22"/>
        </w:rPr>
        <w:t xml:space="preserve"> Community Health Centre participation could involve the Board in controversy or negative publicity, then the request shall be placed on an upcoming Board meeting for discussion and decision.</w:t>
      </w:r>
    </w:p>
    <w:p w:rsidR="00B24069" w:rsidRPr="00B24069" w:rsidRDefault="00B24069" w:rsidP="00B24069">
      <w:pPr>
        <w:pStyle w:val="BodyText"/>
        <w:rPr>
          <w:szCs w:val="22"/>
        </w:rPr>
      </w:pPr>
    </w:p>
    <w:p w:rsidR="00B24069" w:rsidRPr="00BE7E01" w:rsidRDefault="00B24069" w:rsidP="00B24069">
      <w:pPr>
        <w:pStyle w:val="BodyText"/>
      </w:pPr>
    </w:p>
    <w:p w:rsidR="00B24069" w:rsidRDefault="00B24069" w:rsidP="00B24069">
      <w:pPr>
        <w:pStyle w:val="Heading4"/>
      </w:pPr>
      <w:bookmarkStart w:id="3" w:name="_Toc328733165"/>
      <w:r>
        <w:t>4.0</w:t>
      </w:r>
      <w:r>
        <w:tab/>
        <w:t>RELATED QUEST FINANCE POLICIES</w:t>
      </w:r>
      <w:bookmarkEnd w:id="3"/>
    </w:p>
    <w:p w:rsidR="00B24069" w:rsidRDefault="00B24069" w:rsidP="00B24069">
      <w:pPr>
        <w:pStyle w:val="BodyText"/>
        <w:rPr>
          <w:highlight w:val="yellow"/>
        </w:rPr>
      </w:pPr>
    </w:p>
    <w:p w:rsidR="00950C09" w:rsidRDefault="00950C09" w:rsidP="00B24069">
      <w:pPr>
        <w:pStyle w:val="BodyText"/>
        <w:rPr>
          <w:highlight w:val="yellow"/>
        </w:rPr>
      </w:pPr>
      <w:r>
        <w:rPr>
          <w:highlight w:val="yellow"/>
        </w:rPr>
        <w:t>Donations Policy</w:t>
      </w:r>
    </w:p>
    <w:p w:rsidR="00B24069" w:rsidRPr="00987891" w:rsidRDefault="00B24069" w:rsidP="00B24069">
      <w:pPr>
        <w:pStyle w:val="BodyText"/>
        <w:rPr>
          <w:highlight w:val="yellow"/>
        </w:rPr>
      </w:pPr>
    </w:p>
    <w:p w:rsidR="00B24069" w:rsidRDefault="00B24069" w:rsidP="00B24069">
      <w:pPr>
        <w:pStyle w:val="Heading4"/>
      </w:pPr>
      <w:r>
        <w:t>5.0</w:t>
      </w:r>
      <w:r>
        <w:tab/>
        <w:t>RELATED QUEST FORMS</w:t>
      </w:r>
    </w:p>
    <w:p w:rsidR="00B24069" w:rsidRDefault="00B24069" w:rsidP="00B24069">
      <w:pPr>
        <w:pStyle w:val="BodyText"/>
      </w:pPr>
    </w:p>
    <w:p w:rsidR="00B24069" w:rsidRDefault="00B24069" w:rsidP="00B24069">
      <w:pPr>
        <w:pStyle w:val="BodyText"/>
      </w:pPr>
      <w:r>
        <w:t>N/A</w:t>
      </w:r>
    </w:p>
    <w:p w:rsidR="00B24069" w:rsidRPr="00C7507F" w:rsidRDefault="00B24069" w:rsidP="00B24069"/>
    <w:p w:rsidR="00B24069" w:rsidRPr="00C36382" w:rsidRDefault="00B24069" w:rsidP="00B24069">
      <w:pPr>
        <w:pStyle w:val="Heading4"/>
      </w:pPr>
      <w:bookmarkStart w:id="4" w:name="_Toc328733166"/>
      <w:r>
        <w:t>6.0</w:t>
      </w:r>
      <w:r>
        <w:tab/>
        <w:t xml:space="preserve">Other </w:t>
      </w:r>
      <w:r w:rsidRPr="00C36382">
        <w:t>References</w:t>
      </w:r>
      <w:r>
        <w:t xml:space="preserve"> and Additional Information</w:t>
      </w:r>
      <w:bookmarkEnd w:id="4"/>
    </w:p>
    <w:p w:rsidR="00B24069" w:rsidRDefault="00B24069" w:rsidP="00B24069">
      <w:pPr>
        <w:pStyle w:val="BodyText"/>
      </w:pPr>
    </w:p>
    <w:p w:rsidR="00B24069" w:rsidRDefault="00B24069" w:rsidP="00B24069">
      <w:pPr>
        <w:pStyle w:val="BodyText"/>
      </w:pPr>
      <w:r>
        <w:rPr>
          <w:highlight w:val="yellow"/>
        </w:rPr>
        <w:t xml:space="preserve"> </w:t>
      </w:r>
    </w:p>
    <w:p w:rsidR="00B24069" w:rsidRDefault="00B24069" w:rsidP="00B24069">
      <w:pPr>
        <w:pStyle w:val="Heading4"/>
      </w:pPr>
      <w:bookmarkStart w:id="5" w:name="_Toc328733167"/>
      <w:r>
        <w:t>7.0</w:t>
      </w:r>
      <w:r>
        <w:tab/>
      </w:r>
      <w:r w:rsidRPr="00E151CA">
        <w:t>Policy Contact</w:t>
      </w:r>
      <w:bookmarkEnd w:id="5"/>
    </w:p>
    <w:p w:rsidR="00B24069" w:rsidRDefault="00B24069" w:rsidP="00B24069">
      <w:pPr>
        <w:pStyle w:val="BodyText"/>
      </w:pPr>
    </w:p>
    <w:p w:rsidR="00B24069" w:rsidRDefault="00B24069" w:rsidP="00B24069">
      <w:pPr>
        <w:pStyle w:val="BodyText"/>
      </w:pPr>
      <w:r>
        <w:t>Executive Director</w:t>
      </w:r>
    </w:p>
    <w:p w:rsidR="00B24069" w:rsidRDefault="00B24069" w:rsidP="00B24069">
      <w:pPr>
        <w:pStyle w:val="BodyText"/>
        <w:rPr>
          <w:i/>
          <w:iCs/>
        </w:rPr>
      </w:pPr>
    </w:p>
    <w:p w:rsidR="00B24069" w:rsidRDefault="00B24069" w:rsidP="00B24069">
      <w:pPr>
        <w:tabs>
          <w:tab w:val="left" w:pos="1440"/>
        </w:tabs>
      </w:pPr>
    </w:p>
    <w:p w:rsidR="00BF097C" w:rsidRDefault="00BF097C"/>
    <w:sectPr w:rsidR="00BF097C" w:rsidSect="00BF09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514"/>
    <w:multiLevelType w:val="multilevel"/>
    <w:tmpl w:val="96EC7E0C"/>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B696C14"/>
    <w:multiLevelType w:val="hybridMultilevel"/>
    <w:tmpl w:val="F178157E"/>
    <w:lvl w:ilvl="0" w:tplc="01ECFD40">
      <w:start w:val="1"/>
      <w:numFmt w:val="bullet"/>
      <w:pStyle w:val="List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104523"/>
    <w:multiLevelType w:val="hybridMultilevel"/>
    <w:tmpl w:val="B5EA4B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CC5CD9"/>
    <w:multiLevelType w:val="hybridMultilevel"/>
    <w:tmpl w:val="586CB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960077"/>
    <w:multiLevelType w:val="hybridMultilevel"/>
    <w:tmpl w:val="0CB49364"/>
    <w:lvl w:ilvl="0" w:tplc="B8DC447A">
      <w:numFmt w:val="bullet"/>
      <w:lvlText w:val="•"/>
      <w:lvlJc w:val="left"/>
      <w:pPr>
        <w:ind w:left="1080" w:hanging="360"/>
      </w:pPr>
      <w:rPr>
        <w:rFonts w:ascii="Arial" w:eastAsiaTheme="minorHAnsi" w:hAnsi="Arial" w:cs="Arial" w:hint="default"/>
      </w:rPr>
    </w:lvl>
    <w:lvl w:ilvl="1" w:tplc="FFC6D7D2">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BF520D"/>
    <w:multiLevelType w:val="hybridMultilevel"/>
    <w:tmpl w:val="10642562"/>
    <w:lvl w:ilvl="0" w:tplc="B8DC447A">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FF122D"/>
    <w:multiLevelType w:val="hybridMultilevel"/>
    <w:tmpl w:val="1A6854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B24069"/>
    <w:rsid w:val="001D4530"/>
    <w:rsid w:val="002C07AA"/>
    <w:rsid w:val="003E58C9"/>
    <w:rsid w:val="00635150"/>
    <w:rsid w:val="006A01BE"/>
    <w:rsid w:val="007550B2"/>
    <w:rsid w:val="008D28F1"/>
    <w:rsid w:val="00950C09"/>
    <w:rsid w:val="00A86ED6"/>
    <w:rsid w:val="00B24069"/>
    <w:rsid w:val="00BE1CB5"/>
    <w:rsid w:val="00BF0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69"/>
    <w:pPr>
      <w:spacing w:line="240" w:lineRule="auto"/>
    </w:pPr>
    <w:rPr>
      <w:rFonts w:eastAsia="Times New Roman"/>
      <w:sz w:val="22"/>
      <w:szCs w:val="22"/>
    </w:rPr>
  </w:style>
  <w:style w:type="paragraph" w:styleId="Heading3">
    <w:name w:val="heading 3"/>
    <w:basedOn w:val="Normal"/>
    <w:next w:val="Normal"/>
    <w:link w:val="Heading3Char"/>
    <w:uiPriority w:val="99"/>
    <w:qFormat/>
    <w:rsid w:val="00B24069"/>
    <w:pPr>
      <w:keepNext/>
      <w:spacing w:before="60" w:after="60"/>
      <w:outlineLvl w:val="2"/>
    </w:pPr>
    <w:rPr>
      <w:b/>
    </w:rPr>
  </w:style>
  <w:style w:type="paragraph" w:styleId="Heading4">
    <w:name w:val="heading 4"/>
    <w:basedOn w:val="Normal"/>
    <w:next w:val="Normal"/>
    <w:link w:val="Heading4Char"/>
    <w:uiPriority w:val="99"/>
    <w:qFormat/>
    <w:rsid w:val="00B24069"/>
    <w:pPr>
      <w:keepNext/>
      <w:keepLines/>
      <w:outlineLvl w:val="3"/>
    </w:pPr>
    <w:rPr>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24069"/>
    <w:rPr>
      <w:rFonts w:eastAsia="Times New Roman"/>
      <w:b/>
      <w:sz w:val="22"/>
      <w:szCs w:val="22"/>
    </w:rPr>
  </w:style>
  <w:style w:type="character" w:customStyle="1" w:styleId="Heading4Char">
    <w:name w:val="Heading 4 Char"/>
    <w:basedOn w:val="DefaultParagraphFont"/>
    <w:link w:val="Heading4"/>
    <w:uiPriority w:val="99"/>
    <w:rsid w:val="00B24069"/>
    <w:rPr>
      <w:rFonts w:eastAsia="Times New Roman"/>
      <w:b/>
      <w:bCs/>
      <w:caps/>
    </w:rPr>
  </w:style>
  <w:style w:type="paragraph" w:styleId="ListBullet">
    <w:name w:val="List Bullet"/>
    <w:basedOn w:val="Normal"/>
    <w:uiPriority w:val="99"/>
    <w:qFormat/>
    <w:rsid w:val="00B24069"/>
    <w:pPr>
      <w:numPr>
        <w:numId w:val="2"/>
      </w:numPr>
    </w:pPr>
  </w:style>
  <w:style w:type="paragraph" w:styleId="BodyText">
    <w:name w:val="Body Text"/>
    <w:basedOn w:val="Normal"/>
    <w:link w:val="BodyTextChar"/>
    <w:uiPriority w:val="99"/>
    <w:qFormat/>
    <w:rsid w:val="00B24069"/>
    <w:pPr>
      <w:ind w:left="720"/>
    </w:pPr>
    <w:rPr>
      <w:szCs w:val="24"/>
    </w:rPr>
  </w:style>
  <w:style w:type="character" w:customStyle="1" w:styleId="BodyTextChar">
    <w:name w:val="Body Text Char"/>
    <w:basedOn w:val="DefaultParagraphFont"/>
    <w:link w:val="BodyText"/>
    <w:uiPriority w:val="99"/>
    <w:rsid w:val="00B24069"/>
    <w:rPr>
      <w:rFonts w:eastAsia="Times New Roman"/>
      <w:sz w:val="22"/>
    </w:rPr>
  </w:style>
  <w:style w:type="paragraph" w:customStyle="1" w:styleId="Default">
    <w:name w:val="Default"/>
    <w:rsid w:val="00B24069"/>
    <w:pPr>
      <w:autoSpaceDE w:val="0"/>
      <w:autoSpaceDN w:val="0"/>
      <w:adjustRightInd w:val="0"/>
      <w:spacing w:line="240" w:lineRule="auto"/>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2019-04-14T18:55:00Z</dcterms:created>
  <dcterms:modified xsi:type="dcterms:W3CDTF">2019-04-14T19:52:00Z</dcterms:modified>
</cp:coreProperties>
</file>