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D44CE1" w:rsidRPr="00D16228" w:rsidTr="00D63DD0">
        <w:trPr>
          <w:jc w:val="center"/>
        </w:trPr>
        <w:tc>
          <w:tcPr>
            <w:tcW w:w="4680" w:type="dxa"/>
            <w:tcBorders>
              <w:top w:val="double" w:sz="6" w:space="0" w:color="000000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4CE1" w:rsidRPr="000D0F4C" w:rsidRDefault="00D44CE1" w:rsidP="00D63DD0">
            <w:pPr>
              <w:spacing w:line="276" w:lineRule="auto"/>
              <w:rPr>
                <w:sz w:val="16"/>
                <w:szCs w:val="16"/>
              </w:rPr>
            </w:pPr>
          </w:p>
          <w:p w:rsidR="00D44CE1" w:rsidRPr="000D0F4C" w:rsidRDefault="00D44CE1" w:rsidP="00D63DD0">
            <w:pPr>
              <w:pStyle w:val="Heading3"/>
              <w:rPr>
                <w:rFonts w:eastAsiaTheme="minorHAnsi"/>
              </w:rPr>
            </w:pPr>
            <w:r w:rsidRPr="000D23AE">
              <w:rPr>
                <w:highlight w:val="cyan"/>
              </w:rPr>
              <w:t>Surplus Reallocation for Funded Programs</w:t>
            </w:r>
          </w:p>
        </w:tc>
        <w:tc>
          <w:tcPr>
            <w:tcW w:w="4680" w:type="dxa"/>
            <w:tcBorders>
              <w:top w:val="double" w:sz="6" w:space="0" w:color="000000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4CE1" w:rsidRPr="000D0F4C" w:rsidRDefault="00D44CE1" w:rsidP="00D63DD0"/>
          <w:p w:rsidR="00D44CE1" w:rsidRPr="000D0F4C" w:rsidRDefault="00D44CE1" w:rsidP="00D63DD0">
            <w:pPr>
              <w:rPr>
                <w:rFonts w:eastAsiaTheme="minorHAnsi"/>
              </w:rPr>
            </w:pPr>
            <w:r w:rsidRPr="000D0F4C">
              <w:t>Policy Approved By: Board of Directors</w:t>
            </w:r>
            <w:r>
              <w:t xml:space="preserve"> </w:t>
            </w:r>
          </w:p>
        </w:tc>
      </w:tr>
      <w:tr w:rsidR="00D44CE1" w:rsidRPr="00D16228" w:rsidTr="00D63DD0">
        <w:trPr>
          <w:trHeight w:val="318"/>
          <w:jc w:val="center"/>
        </w:trPr>
        <w:tc>
          <w:tcPr>
            <w:tcW w:w="4680" w:type="dxa"/>
            <w:tcBorders>
              <w:top w:val="nil"/>
              <w:left w:val="double" w:sz="6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4CE1" w:rsidRPr="000D0F4C" w:rsidRDefault="00D44CE1" w:rsidP="00D63DD0"/>
          <w:p w:rsidR="00D44CE1" w:rsidRPr="000D0F4C" w:rsidRDefault="00D44CE1" w:rsidP="00D63DD0">
            <w:pPr>
              <w:rPr>
                <w:rFonts w:eastAsiaTheme="minorHAnsi"/>
              </w:rPr>
            </w:pPr>
            <w:r w:rsidRPr="000D0F4C">
              <w:t>Section:  Finance Policies</w:t>
            </w:r>
          </w:p>
        </w:tc>
        <w:tc>
          <w:tcPr>
            <w:tcW w:w="4680" w:type="dxa"/>
            <w:tcBorders>
              <w:top w:val="nil"/>
              <w:left w:val="nil"/>
              <w:bottom w:val="single" w:sz="8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4CE1" w:rsidRPr="000D0F4C" w:rsidRDefault="00D44CE1" w:rsidP="00D63DD0"/>
          <w:p w:rsidR="00D44CE1" w:rsidRPr="000D0F4C" w:rsidRDefault="00D63DD0" w:rsidP="00D63DD0">
            <w:pPr>
              <w:rPr>
                <w:rFonts w:eastAsiaTheme="minorHAnsi"/>
              </w:rPr>
            </w:pPr>
            <w:r>
              <w:t>Date of Approval</w:t>
            </w:r>
            <w:r w:rsidR="00D44CE1" w:rsidRPr="000D0F4C">
              <w:t xml:space="preserve">: </w:t>
            </w:r>
            <w:r w:rsidR="009F2DFD">
              <w:t>Month XXXX 2019</w:t>
            </w:r>
          </w:p>
        </w:tc>
      </w:tr>
      <w:tr w:rsidR="00D44CE1" w:rsidTr="00D63DD0">
        <w:trPr>
          <w:jc w:val="center"/>
        </w:trPr>
        <w:tc>
          <w:tcPr>
            <w:tcW w:w="4680" w:type="dxa"/>
            <w:tcBorders>
              <w:top w:val="nil"/>
              <w:left w:val="double" w:sz="6" w:space="0" w:color="000000"/>
              <w:bottom w:val="double" w:sz="6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4CE1" w:rsidRPr="000D0F4C" w:rsidRDefault="00D44CE1" w:rsidP="00D63DD0"/>
          <w:p w:rsidR="00D44CE1" w:rsidRPr="000D0F4C" w:rsidRDefault="00D44CE1" w:rsidP="00D63DD0">
            <w:pPr>
              <w:rPr>
                <w:rFonts w:eastAsiaTheme="minorHAnsi"/>
              </w:rPr>
            </w:pPr>
            <w:r w:rsidRPr="000D0F4C">
              <w:t xml:space="preserve">Accreditation Issue: </w:t>
            </w:r>
          </w:p>
        </w:tc>
        <w:tc>
          <w:tcPr>
            <w:tcW w:w="4680" w:type="dxa"/>
            <w:tcBorders>
              <w:top w:val="nil"/>
              <w:left w:val="nil"/>
              <w:bottom w:val="double" w:sz="6" w:space="0" w:color="000000"/>
              <w:right w:val="double" w:sz="6" w:space="0" w:color="000000"/>
            </w:tcBorders>
            <w:shd w:val="clear" w:color="auto" w:fill="auto"/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D44CE1" w:rsidRPr="000D0F4C" w:rsidRDefault="00D44CE1" w:rsidP="00D63DD0"/>
          <w:p w:rsidR="00D44CE1" w:rsidRPr="000D0F4C" w:rsidRDefault="00D44CE1" w:rsidP="009849F4">
            <w:pPr>
              <w:rPr>
                <w:rFonts w:eastAsiaTheme="minorHAnsi"/>
              </w:rPr>
            </w:pPr>
            <w:r>
              <w:t xml:space="preserve">Date of </w:t>
            </w:r>
            <w:r w:rsidR="00D63DD0">
              <w:t xml:space="preserve">Next </w:t>
            </w:r>
            <w:r>
              <w:t xml:space="preserve">Review: </w:t>
            </w:r>
            <w:r w:rsidR="009F2DFD">
              <w:t xml:space="preserve">Month </w:t>
            </w:r>
            <w:r w:rsidR="009849F4">
              <w:t xml:space="preserve">2022 </w:t>
            </w:r>
          </w:p>
        </w:tc>
      </w:tr>
    </w:tbl>
    <w:p w:rsidR="00D44CE1" w:rsidRPr="00C61AC0" w:rsidRDefault="00D44CE1" w:rsidP="00D44CE1">
      <w:pPr>
        <w:spacing w:before="120"/>
        <w:rPr>
          <w:sz w:val="24"/>
        </w:rPr>
      </w:pPr>
    </w:p>
    <w:p w:rsidR="00D44CE1" w:rsidRPr="00BE7E01" w:rsidRDefault="00D44CE1" w:rsidP="00D44CE1">
      <w:pPr>
        <w:pStyle w:val="Heading4"/>
      </w:pPr>
      <w:bookmarkStart w:id="0" w:name="_Toc328733162"/>
      <w:r>
        <w:t>1.0</w:t>
      </w:r>
      <w:r>
        <w:tab/>
      </w:r>
      <w:r w:rsidRPr="00BE7E01">
        <w:t>Introduction</w:t>
      </w:r>
      <w:bookmarkEnd w:id="0"/>
    </w:p>
    <w:p w:rsidR="00653BE6" w:rsidRDefault="00653BE6" w:rsidP="00653BE6">
      <w:pPr>
        <w:pStyle w:val="Default"/>
      </w:pPr>
    </w:p>
    <w:p w:rsidR="00D44CE1" w:rsidRDefault="00653BE6" w:rsidP="00653BE6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The Ministry of Health and Lo</w:t>
      </w:r>
      <w:r w:rsidR="005A751A">
        <w:rPr>
          <w:sz w:val="23"/>
          <w:szCs w:val="23"/>
        </w:rPr>
        <w:t>ng Term Care (MOHLTC) and</w:t>
      </w:r>
      <w:r>
        <w:rPr>
          <w:sz w:val="23"/>
          <w:szCs w:val="23"/>
        </w:rPr>
        <w:t xml:space="preserve"> the Local Health Integration Network (LHI</w:t>
      </w:r>
      <w:r w:rsidR="005A751A">
        <w:rPr>
          <w:sz w:val="23"/>
          <w:szCs w:val="23"/>
        </w:rPr>
        <w:t xml:space="preserve">N), </w:t>
      </w:r>
      <w:r>
        <w:rPr>
          <w:sz w:val="23"/>
          <w:szCs w:val="23"/>
        </w:rPr>
        <w:t>permit the Healt</w:t>
      </w:r>
      <w:r w:rsidR="005A751A">
        <w:rPr>
          <w:sz w:val="23"/>
          <w:szCs w:val="23"/>
        </w:rPr>
        <w:t xml:space="preserve">h Centre to submit requests to reallocate funds </w:t>
      </w:r>
      <w:r>
        <w:rPr>
          <w:sz w:val="23"/>
          <w:szCs w:val="23"/>
        </w:rPr>
        <w:t>from projected surpluses</w:t>
      </w:r>
      <w:r w:rsidR="005A751A">
        <w:rPr>
          <w:sz w:val="23"/>
          <w:szCs w:val="23"/>
        </w:rPr>
        <w:t xml:space="preserve"> to meet approved service targets or respond to increased/different service demands</w:t>
      </w:r>
      <w:r>
        <w:rPr>
          <w:sz w:val="23"/>
          <w:szCs w:val="23"/>
        </w:rPr>
        <w:t xml:space="preserve">. A list of requests shall be generated for consideration in an effort to maximize this opportunity while ensuring appropriate use of public funds. </w:t>
      </w:r>
    </w:p>
    <w:p w:rsidR="005A751A" w:rsidRDefault="005A751A" w:rsidP="00653BE6">
      <w:pPr>
        <w:pStyle w:val="BodyText"/>
        <w:rPr>
          <w:sz w:val="23"/>
          <w:szCs w:val="23"/>
        </w:rPr>
      </w:pPr>
    </w:p>
    <w:p w:rsidR="005A751A" w:rsidRDefault="005A751A" w:rsidP="005A751A">
      <w:pPr>
        <w:pStyle w:val="BodyText"/>
        <w:rPr>
          <w:sz w:val="23"/>
          <w:szCs w:val="23"/>
        </w:rPr>
      </w:pPr>
      <w:r>
        <w:rPr>
          <w:sz w:val="23"/>
          <w:szCs w:val="23"/>
        </w:rPr>
        <w:t>Prior written approval from the Ministry or LHIN is required in advance to reallocate funds to:</w:t>
      </w:r>
    </w:p>
    <w:p w:rsidR="005A751A" w:rsidRDefault="005A751A" w:rsidP="00430BBC">
      <w:pPr>
        <w:pStyle w:val="BodyTex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Provide a service that was not in the approved budget</w:t>
      </w:r>
    </w:p>
    <w:p w:rsidR="005A751A" w:rsidRDefault="005A751A" w:rsidP="00430BBC">
      <w:pPr>
        <w:pStyle w:val="BodyTex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>Substitute one type of approved service for another</w:t>
      </w:r>
    </w:p>
    <w:p w:rsidR="005A751A" w:rsidRPr="005A751A" w:rsidRDefault="005A751A" w:rsidP="00430BBC">
      <w:pPr>
        <w:pStyle w:val="BodyText"/>
        <w:numPr>
          <w:ilvl w:val="0"/>
          <w:numId w:val="5"/>
        </w:numPr>
        <w:rPr>
          <w:sz w:val="23"/>
          <w:szCs w:val="23"/>
        </w:rPr>
      </w:pPr>
      <w:r>
        <w:rPr>
          <w:sz w:val="23"/>
          <w:szCs w:val="23"/>
        </w:rPr>
        <w:t xml:space="preserve">Use dedicated </w:t>
      </w:r>
      <w:r w:rsidR="00F63D14">
        <w:rPr>
          <w:sz w:val="23"/>
          <w:szCs w:val="23"/>
        </w:rPr>
        <w:t>service/program</w:t>
      </w:r>
      <w:r>
        <w:rPr>
          <w:sz w:val="23"/>
          <w:szCs w:val="23"/>
        </w:rPr>
        <w:t xml:space="preserve"> funding for purposes other than intended</w:t>
      </w:r>
    </w:p>
    <w:p w:rsidR="00D44CE1" w:rsidRDefault="00D44CE1" w:rsidP="00D44CE1">
      <w:pPr>
        <w:pStyle w:val="BodyText"/>
      </w:pPr>
    </w:p>
    <w:p w:rsidR="00D44CE1" w:rsidRDefault="00D44CE1" w:rsidP="00D44CE1">
      <w:pPr>
        <w:pStyle w:val="Heading4"/>
        <w:numPr>
          <w:ilvl w:val="0"/>
          <w:numId w:val="1"/>
        </w:numPr>
      </w:pPr>
      <w:bookmarkStart w:id="1" w:name="_Toc328733163"/>
      <w:r>
        <w:t>Scope</w:t>
      </w:r>
      <w:bookmarkEnd w:id="1"/>
    </w:p>
    <w:p w:rsidR="00D44CE1" w:rsidRDefault="00D44CE1" w:rsidP="00D44CE1">
      <w:pPr>
        <w:pStyle w:val="BodyText"/>
      </w:pPr>
    </w:p>
    <w:p w:rsidR="00D44CE1" w:rsidRDefault="00D44CE1" w:rsidP="00D44CE1">
      <w:pPr>
        <w:pStyle w:val="BodyText"/>
      </w:pPr>
      <w:r>
        <w:t>Executive Director, Management Team and Financial Staff.</w:t>
      </w:r>
    </w:p>
    <w:p w:rsidR="00D44CE1" w:rsidRPr="00BE7E01" w:rsidRDefault="00D44CE1" w:rsidP="00D44CE1">
      <w:pPr>
        <w:pStyle w:val="BodyText"/>
        <w:ind w:left="0"/>
      </w:pPr>
    </w:p>
    <w:p w:rsidR="00D44CE1" w:rsidRPr="00BE7E01" w:rsidRDefault="00D44CE1" w:rsidP="00D44CE1">
      <w:pPr>
        <w:pStyle w:val="Heading4"/>
      </w:pPr>
      <w:bookmarkStart w:id="2" w:name="_Toc328733164"/>
      <w:r>
        <w:t>3.0</w:t>
      </w:r>
      <w:r>
        <w:tab/>
        <w:t>Policy/Procedure</w:t>
      </w:r>
      <w:bookmarkEnd w:id="2"/>
    </w:p>
    <w:p w:rsidR="00653BE6" w:rsidRPr="00653BE6" w:rsidRDefault="00653BE6" w:rsidP="00653BE6">
      <w:pPr>
        <w:pStyle w:val="Default"/>
        <w:rPr>
          <w:rFonts w:ascii="Arial" w:hAnsi="Arial" w:cs="Arial"/>
          <w:sz w:val="22"/>
          <w:szCs w:val="22"/>
        </w:rPr>
      </w:pPr>
    </w:p>
    <w:p w:rsidR="00653BE6" w:rsidRPr="00653BE6" w:rsidRDefault="00653BE6" w:rsidP="00653BE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3BE6">
        <w:rPr>
          <w:rFonts w:ascii="Arial" w:hAnsi="Arial" w:cs="Arial"/>
          <w:sz w:val="22"/>
          <w:szCs w:val="22"/>
        </w:rPr>
        <w:t xml:space="preserve">Based on the funded program’s quarterly financial statements and program reports submitted to the funder, the Executive </w:t>
      </w:r>
      <w:r>
        <w:rPr>
          <w:rFonts w:ascii="Arial" w:hAnsi="Arial" w:cs="Arial"/>
          <w:sz w:val="22"/>
          <w:szCs w:val="22"/>
        </w:rPr>
        <w:t>Director</w:t>
      </w:r>
      <w:r w:rsidRPr="00653BE6">
        <w:rPr>
          <w:rFonts w:ascii="Arial" w:hAnsi="Arial" w:cs="Arial"/>
          <w:sz w:val="22"/>
          <w:szCs w:val="22"/>
        </w:rPr>
        <w:t xml:space="preserve"> may enlist requests from the </w:t>
      </w:r>
      <w:r>
        <w:rPr>
          <w:rFonts w:ascii="Arial" w:hAnsi="Arial" w:cs="Arial"/>
          <w:sz w:val="22"/>
          <w:szCs w:val="22"/>
        </w:rPr>
        <w:t xml:space="preserve">Management </w:t>
      </w:r>
      <w:r w:rsidRPr="00653BE6">
        <w:rPr>
          <w:rFonts w:ascii="Arial" w:hAnsi="Arial" w:cs="Arial"/>
          <w:sz w:val="22"/>
          <w:szCs w:val="22"/>
        </w:rPr>
        <w:t xml:space="preserve">Team for expenditures against projected surpluses. These requests will </w:t>
      </w:r>
      <w:r w:rsidR="00D63DD0">
        <w:rPr>
          <w:rFonts w:ascii="Arial" w:hAnsi="Arial" w:cs="Arial"/>
          <w:sz w:val="22"/>
          <w:szCs w:val="22"/>
        </w:rPr>
        <w:t xml:space="preserve">take into consideration, but will not be limited to, </w:t>
      </w:r>
      <w:r w:rsidRPr="00653BE6">
        <w:rPr>
          <w:rFonts w:ascii="Arial" w:hAnsi="Arial" w:cs="Arial"/>
          <w:sz w:val="22"/>
          <w:szCs w:val="22"/>
        </w:rPr>
        <w:t xml:space="preserve">the Health Centre’s strategic plan and strategic </w:t>
      </w:r>
      <w:r w:rsidR="00D63DD0">
        <w:rPr>
          <w:rFonts w:ascii="Arial" w:hAnsi="Arial" w:cs="Arial"/>
          <w:sz w:val="22"/>
          <w:szCs w:val="22"/>
        </w:rPr>
        <w:t>priorities</w:t>
      </w:r>
      <w:r w:rsidRPr="00653BE6">
        <w:rPr>
          <w:rFonts w:ascii="Arial" w:hAnsi="Arial" w:cs="Arial"/>
          <w:sz w:val="22"/>
          <w:szCs w:val="22"/>
        </w:rPr>
        <w:t xml:space="preserve">. </w:t>
      </w:r>
    </w:p>
    <w:p w:rsidR="00653BE6" w:rsidRPr="00653BE6" w:rsidRDefault="00653BE6" w:rsidP="00653BE6">
      <w:pPr>
        <w:pStyle w:val="Default"/>
        <w:ind w:left="1125"/>
        <w:rPr>
          <w:rFonts w:ascii="Arial" w:hAnsi="Arial" w:cs="Arial"/>
          <w:sz w:val="22"/>
          <w:szCs w:val="22"/>
        </w:rPr>
      </w:pPr>
    </w:p>
    <w:p w:rsidR="00653BE6" w:rsidRPr="00653BE6" w:rsidRDefault="00653BE6" w:rsidP="00653BE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3BE6">
        <w:rPr>
          <w:rFonts w:ascii="Arial" w:hAnsi="Arial" w:cs="Arial"/>
          <w:sz w:val="22"/>
          <w:szCs w:val="22"/>
        </w:rPr>
        <w:t xml:space="preserve">The requests will be prioritized by the Executive </w:t>
      </w:r>
      <w:r>
        <w:rPr>
          <w:rFonts w:ascii="Arial" w:hAnsi="Arial" w:cs="Arial"/>
          <w:sz w:val="22"/>
          <w:szCs w:val="22"/>
        </w:rPr>
        <w:t>Director</w:t>
      </w:r>
      <w:r w:rsidRPr="00653BE6">
        <w:rPr>
          <w:rFonts w:ascii="Arial" w:hAnsi="Arial" w:cs="Arial"/>
          <w:sz w:val="22"/>
          <w:szCs w:val="22"/>
        </w:rPr>
        <w:t>.</w:t>
      </w:r>
    </w:p>
    <w:p w:rsidR="00653BE6" w:rsidRPr="00653BE6" w:rsidRDefault="00653BE6" w:rsidP="00653BE6">
      <w:pPr>
        <w:pStyle w:val="Default"/>
        <w:ind w:firstLine="45"/>
        <w:rPr>
          <w:rFonts w:ascii="Arial" w:hAnsi="Arial" w:cs="Arial"/>
          <w:sz w:val="22"/>
          <w:szCs w:val="22"/>
        </w:rPr>
      </w:pPr>
    </w:p>
    <w:p w:rsidR="00653BE6" w:rsidRDefault="00653BE6" w:rsidP="00653BE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3BE6">
        <w:rPr>
          <w:rFonts w:ascii="Arial" w:hAnsi="Arial" w:cs="Arial"/>
          <w:sz w:val="22"/>
          <w:szCs w:val="22"/>
        </w:rPr>
        <w:t>The requests are then forwarded to the funder for consideration and approval.</w:t>
      </w:r>
    </w:p>
    <w:p w:rsidR="00653BE6" w:rsidRDefault="00653BE6" w:rsidP="00653BE6">
      <w:pPr>
        <w:pStyle w:val="ListParagraph"/>
      </w:pPr>
    </w:p>
    <w:p w:rsidR="00653BE6" w:rsidRPr="00653BE6" w:rsidRDefault="00653BE6" w:rsidP="00653BE6">
      <w:pPr>
        <w:pStyle w:val="Defaul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653BE6">
        <w:rPr>
          <w:rFonts w:ascii="Arial" w:hAnsi="Arial" w:cs="Arial"/>
          <w:sz w:val="22"/>
          <w:szCs w:val="22"/>
        </w:rPr>
        <w:t xml:space="preserve">The Board will be informed if the requests are approved. </w:t>
      </w:r>
    </w:p>
    <w:p w:rsidR="00653BE6" w:rsidRDefault="00653BE6" w:rsidP="00653BE6">
      <w:pPr>
        <w:pStyle w:val="BodyText"/>
        <w:rPr>
          <w:sz w:val="23"/>
          <w:szCs w:val="23"/>
        </w:rPr>
      </w:pPr>
    </w:p>
    <w:p w:rsidR="00D44CE1" w:rsidRDefault="00D44CE1" w:rsidP="00D44CE1">
      <w:pPr>
        <w:pStyle w:val="Heading4"/>
      </w:pPr>
      <w:bookmarkStart w:id="3" w:name="_Toc328733165"/>
      <w:r>
        <w:t>4.0</w:t>
      </w:r>
      <w:r>
        <w:tab/>
        <w:t>RELATED QUEST FINANCE POLICIES</w:t>
      </w:r>
      <w:bookmarkEnd w:id="3"/>
    </w:p>
    <w:p w:rsidR="00F3474D" w:rsidRDefault="00F3474D" w:rsidP="00F3474D">
      <w:pPr>
        <w:pStyle w:val="BodyText"/>
      </w:pPr>
      <w:r>
        <w:t>For related Quest finance policies, see:</w:t>
      </w:r>
    </w:p>
    <w:p w:rsidR="00F3474D" w:rsidRDefault="00F3474D" w:rsidP="00F3474D">
      <w:pPr>
        <w:pStyle w:val="BodyText"/>
        <w:numPr>
          <w:ilvl w:val="0"/>
          <w:numId w:val="6"/>
        </w:numPr>
        <w:ind w:left="1080"/>
      </w:pPr>
      <w:r w:rsidRPr="00F3474D">
        <w:t>Annual Budget</w:t>
      </w:r>
      <w:r>
        <w:t xml:space="preserve">  </w:t>
      </w:r>
    </w:p>
    <w:p w:rsidR="00D44CE1" w:rsidRPr="00F3474D" w:rsidRDefault="00F3474D" w:rsidP="00F3474D">
      <w:pPr>
        <w:pStyle w:val="BodyText"/>
        <w:numPr>
          <w:ilvl w:val="0"/>
          <w:numId w:val="6"/>
        </w:numPr>
        <w:ind w:left="1080"/>
      </w:pPr>
      <w:r>
        <w:t xml:space="preserve">Community Accountability </w:t>
      </w:r>
      <w:r>
        <w:t>Planning Subm</w:t>
      </w:r>
      <w:r w:rsidRPr="004275A1">
        <w:t>ission</w:t>
      </w:r>
      <w:r>
        <w:t xml:space="preserve"> </w:t>
      </w:r>
    </w:p>
    <w:p w:rsidR="009849F4" w:rsidRDefault="009849F4" w:rsidP="00D44CE1">
      <w:pPr>
        <w:pStyle w:val="BodyText"/>
        <w:rPr>
          <w:highlight w:val="yellow"/>
        </w:rPr>
      </w:pPr>
    </w:p>
    <w:p w:rsidR="00653BE6" w:rsidRPr="00987891" w:rsidRDefault="00653BE6" w:rsidP="00D44CE1">
      <w:pPr>
        <w:pStyle w:val="BodyText"/>
        <w:rPr>
          <w:highlight w:val="yellow"/>
        </w:rPr>
      </w:pPr>
    </w:p>
    <w:p w:rsidR="00D44CE1" w:rsidRDefault="00D44CE1" w:rsidP="00D44CE1">
      <w:pPr>
        <w:pStyle w:val="Heading4"/>
      </w:pPr>
      <w:r>
        <w:lastRenderedPageBreak/>
        <w:t>5.0</w:t>
      </w:r>
      <w:r>
        <w:tab/>
        <w:t>RELATED QUEST FORMS</w:t>
      </w:r>
    </w:p>
    <w:p w:rsidR="00D44CE1" w:rsidRDefault="00D44CE1" w:rsidP="00D44CE1">
      <w:pPr>
        <w:pStyle w:val="BodyText"/>
      </w:pPr>
    </w:p>
    <w:p w:rsidR="00D44CE1" w:rsidRPr="00653BE6" w:rsidRDefault="00D44CE1" w:rsidP="00653BE6">
      <w:pPr>
        <w:pStyle w:val="BodyText"/>
      </w:pPr>
      <w:r>
        <w:t>N/A</w:t>
      </w:r>
    </w:p>
    <w:p w:rsidR="00D44CE1" w:rsidRPr="00C36382" w:rsidRDefault="00D44CE1" w:rsidP="00D44CE1">
      <w:pPr>
        <w:pStyle w:val="Heading4"/>
      </w:pPr>
      <w:bookmarkStart w:id="4" w:name="_Toc328733166"/>
      <w:r>
        <w:t>6.0</w:t>
      </w:r>
      <w:r>
        <w:tab/>
        <w:t xml:space="preserve">Other </w:t>
      </w:r>
      <w:r w:rsidRPr="00C36382">
        <w:t>References</w:t>
      </w:r>
      <w:r>
        <w:t xml:space="preserve"> and Additional Information</w:t>
      </w:r>
      <w:bookmarkEnd w:id="4"/>
    </w:p>
    <w:p w:rsidR="00D44CE1" w:rsidRDefault="00D44CE1" w:rsidP="00653BE6">
      <w:pPr>
        <w:pStyle w:val="BodyText"/>
        <w:ind w:left="0"/>
      </w:pPr>
    </w:p>
    <w:p w:rsidR="00D44CE1" w:rsidRDefault="00D44CE1" w:rsidP="00D44CE1"/>
    <w:p w:rsidR="00D44CE1" w:rsidRDefault="00D44CE1" w:rsidP="00D44CE1">
      <w:pPr>
        <w:pStyle w:val="Heading4"/>
      </w:pPr>
      <w:bookmarkStart w:id="5" w:name="_Toc328733167"/>
      <w:r>
        <w:t>7.0</w:t>
      </w:r>
      <w:r>
        <w:tab/>
      </w:r>
      <w:r w:rsidRPr="00E151CA">
        <w:t>Policy Contact</w:t>
      </w:r>
      <w:bookmarkEnd w:id="5"/>
    </w:p>
    <w:p w:rsidR="00D44CE1" w:rsidRDefault="00D44CE1" w:rsidP="00D44CE1">
      <w:pPr>
        <w:pStyle w:val="BodyText"/>
      </w:pPr>
    </w:p>
    <w:p w:rsidR="00D44CE1" w:rsidRDefault="00D44CE1" w:rsidP="00D44CE1">
      <w:pPr>
        <w:pStyle w:val="BodyText"/>
      </w:pPr>
      <w:r>
        <w:t>Executive Director</w:t>
      </w:r>
    </w:p>
    <w:p w:rsidR="00D44CE1" w:rsidRDefault="00D44CE1" w:rsidP="00D44CE1">
      <w:pPr>
        <w:pStyle w:val="BodyText"/>
        <w:rPr>
          <w:i/>
          <w:iCs/>
        </w:rPr>
      </w:pPr>
    </w:p>
    <w:p w:rsidR="00BF097C" w:rsidRDefault="00BF097C"/>
    <w:sectPr w:rsidR="00BF097C" w:rsidSect="00BF09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2DFD" w:rsidRDefault="009F2DFD" w:rsidP="00395E88">
      <w:r>
        <w:separator/>
      </w:r>
    </w:p>
  </w:endnote>
  <w:endnote w:type="continuationSeparator" w:id="0">
    <w:p w:rsidR="009F2DFD" w:rsidRDefault="009F2DFD" w:rsidP="00395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D" w:rsidRDefault="009F2DF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D" w:rsidRPr="00395E88" w:rsidRDefault="009F2DFD">
    <w:pPr>
      <w:pStyle w:val="Footer"/>
      <w:rPr>
        <w:lang w:val="en-CA"/>
      </w:rPr>
    </w:pPr>
    <w:r>
      <w:rPr>
        <w:lang w:val="en-CA"/>
      </w:rPr>
      <w:t>g/finance/policies and procedures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D" w:rsidRDefault="009F2DF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2DFD" w:rsidRDefault="009F2DFD" w:rsidP="00395E88">
      <w:r>
        <w:separator/>
      </w:r>
    </w:p>
  </w:footnote>
  <w:footnote w:type="continuationSeparator" w:id="0">
    <w:p w:rsidR="009F2DFD" w:rsidRDefault="009F2DFD" w:rsidP="00395E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D" w:rsidRDefault="009F2DF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D" w:rsidRDefault="009F2DF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DFD" w:rsidRDefault="009F2DF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14"/>
    <w:multiLevelType w:val="multilevel"/>
    <w:tmpl w:val="96EC7E0C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">
    <w:nsid w:val="0B696C14"/>
    <w:multiLevelType w:val="hybridMultilevel"/>
    <w:tmpl w:val="F178157E"/>
    <w:lvl w:ilvl="0" w:tplc="01ECFD40">
      <w:start w:val="1"/>
      <w:numFmt w:val="bullet"/>
      <w:pStyle w:val="List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6E075B"/>
    <w:multiLevelType w:val="hybridMultilevel"/>
    <w:tmpl w:val="DAF20F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E8F589F"/>
    <w:multiLevelType w:val="hybridMultilevel"/>
    <w:tmpl w:val="4E128E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A30C6A"/>
    <w:multiLevelType w:val="hybridMultilevel"/>
    <w:tmpl w:val="AD3456EE"/>
    <w:lvl w:ilvl="0" w:tplc="5B3C7EAA">
      <w:start w:val="1"/>
      <w:numFmt w:val="decimal"/>
      <w:lvlText w:val="%1."/>
      <w:lvlJc w:val="left"/>
      <w:pPr>
        <w:ind w:left="1125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>
    <w:nsid w:val="5F8C54C9"/>
    <w:multiLevelType w:val="hybridMultilevel"/>
    <w:tmpl w:val="D43804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4CE1"/>
    <w:rsid w:val="00007189"/>
    <w:rsid w:val="000D23AE"/>
    <w:rsid w:val="001D4530"/>
    <w:rsid w:val="00354C60"/>
    <w:rsid w:val="00395E88"/>
    <w:rsid w:val="003E58C9"/>
    <w:rsid w:val="00430BBC"/>
    <w:rsid w:val="005A751A"/>
    <w:rsid w:val="00635150"/>
    <w:rsid w:val="00653BE6"/>
    <w:rsid w:val="007550B2"/>
    <w:rsid w:val="009849F4"/>
    <w:rsid w:val="009F2DFD"/>
    <w:rsid w:val="00B273ED"/>
    <w:rsid w:val="00BF097C"/>
    <w:rsid w:val="00BF2E8A"/>
    <w:rsid w:val="00D44CE1"/>
    <w:rsid w:val="00D63DD0"/>
    <w:rsid w:val="00F3474D"/>
    <w:rsid w:val="00F63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CE1"/>
    <w:pPr>
      <w:spacing w:line="240" w:lineRule="auto"/>
    </w:pPr>
    <w:rPr>
      <w:rFonts w:eastAsia="Times New Roman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44CE1"/>
    <w:pPr>
      <w:keepNext/>
      <w:spacing w:before="60" w:after="60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D44CE1"/>
    <w:pPr>
      <w:keepNext/>
      <w:keepLines/>
      <w:outlineLvl w:val="3"/>
    </w:pPr>
    <w:rPr>
      <w:b/>
      <w:bCs/>
      <w: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D44CE1"/>
    <w:rPr>
      <w:rFonts w:eastAsia="Times New Roman"/>
      <w:b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9"/>
    <w:rsid w:val="00D44CE1"/>
    <w:rPr>
      <w:rFonts w:eastAsia="Times New Roman"/>
      <w:b/>
      <w:bCs/>
      <w:caps/>
    </w:rPr>
  </w:style>
  <w:style w:type="paragraph" w:styleId="ListBullet">
    <w:name w:val="List Bullet"/>
    <w:basedOn w:val="Normal"/>
    <w:uiPriority w:val="99"/>
    <w:qFormat/>
    <w:rsid w:val="00D44CE1"/>
    <w:pPr>
      <w:numPr>
        <w:numId w:val="2"/>
      </w:numPr>
    </w:pPr>
  </w:style>
  <w:style w:type="paragraph" w:styleId="BodyText">
    <w:name w:val="Body Text"/>
    <w:basedOn w:val="Normal"/>
    <w:link w:val="BodyTextChar"/>
    <w:uiPriority w:val="99"/>
    <w:qFormat/>
    <w:rsid w:val="00D44CE1"/>
    <w:pPr>
      <w:ind w:left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D44CE1"/>
    <w:rPr>
      <w:rFonts w:eastAsia="Times New Roman"/>
      <w:sz w:val="22"/>
    </w:rPr>
  </w:style>
  <w:style w:type="paragraph" w:customStyle="1" w:styleId="Default">
    <w:name w:val="Default"/>
    <w:rsid w:val="00653BE6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653B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95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5E88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395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5E88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tschroeder</cp:lastModifiedBy>
  <cp:revision>6</cp:revision>
  <cp:lastPrinted>2019-03-10T19:28:00Z</cp:lastPrinted>
  <dcterms:created xsi:type="dcterms:W3CDTF">2019-04-14T19:33:00Z</dcterms:created>
  <dcterms:modified xsi:type="dcterms:W3CDTF">2019-04-22T14:36:00Z</dcterms:modified>
</cp:coreProperties>
</file>